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1FF54">
      <w:pPr>
        <w:widowControl/>
        <w:jc w:val="center"/>
        <w:rPr>
          <w:rFonts w:hint="eastAsia" w:ascii="方正小标宋简体" w:hAnsi="方正小标宋简体" w:eastAsia="方正小标宋简体" w:cs="方正小标宋简体"/>
          <w:b w:val="0"/>
          <w:bCs/>
          <w:sz w:val="40"/>
          <w:szCs w:val="40"/>
        </w:rPr>
      </w:pPr>
      <w:bookmarkStart w:id="0" w:name="_GoBack"/>
      <w:r>
        <w:rPr>
          <w:rFonts w:hint="eastAsia" w:ascii="方正小标宋简体" w:hAnsi="方正小标宋简体" w:eastAsia="方正小标宋简体" w:cs="方正小标宋简体"/>
          <w:b w:val="0"/>
          <w:bCs/>
          <w:sz w:val="40"/>
          <w:szCs w:val="40"/>
          <w:lang w:val="en-US" w:eastAsia="zh-CN"/>
        </w:rPr>
        <w:t>农垦商厦室内装饰装修及零星工程等</w:t>
      </w:r>
      <w:r>
        <w:rPr>
          <w:rFonts w:hint="eastAsia" w:ascii="方正小标宋简体" w:hAnsi="方正小标宋简体" w:eastAsia="方正小标宋简体" w:cs="方正小标宋简体"/>
          <w:b w:val="0"/>
          <w:bCs/>
          <w:sz w:val="40"/>
          <w:szCs w:val="40"/>
        </w:rPr>
        <w:t>项目竣工结算审核服务响应报价单</w:t>
      </w:r>
    </w:p>
    <w:bookmarkEnd w:id="0"/>
    <w:tbl>
      <w:tblPr>
        <w:tblStyle w:val="4"/>
        <w:tblW w:w="854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668"/>
        <w:gridCol w:w="5881"/>
      </w:tblGrid>
      <w:tr w14:paraId="246DE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2" w:hRule="atLeast"/>
        </w:trPr>
        <w:tc>
          <w:tcPr>
            <w:tcW w:w="2668" w:type="dxa"/>
            <w:noWrap w:val="0"/>
            <w:vAlign w:val="center"/>
          </w:tcPr>
          <w:p w14:paraId="159DF497">
            <w:pPr>
              <w:widowControl/>
              <w:spacing w:line="560" w:lineRule="exac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项目名称</w:t>
            </w:r>
          </w:p>
        </w:tc>
        <w:tc>
          <w:tcPr>
            <w:tcW w:w="5881" w:type="dxa"/>
            <w:noWrap w:val="0"/>
            <w:vAlign w:val="center"/>
          </w:tcPr>
          <w:p w14:paraId="0ED7F436">
            <w:pPr>
              <w:widowControl/>
              <w:jc w:val="left"/>
              <w:textAlignment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农垦商厦室内装饰装修、室内装修改造及四层地砖施工等项目</w:t>
            </w:r>
            <w:r>
              <w:rPr>
                <w:rFonts w:hint="eastAsia" w:ascii="仿宋_GB2312" w:hAnsi="仿宋_GB2312" w:eastAsia="仿宋_GB2312" w:cs="仿宋_GB2312"/>
                <w:sz w:val="24"/>
                <w:szCs w:val="24"/>
              </w:rPr>
              <w:t>竣</w:t>
            </w:r>
            <w:r>
              <w:rPr>
                <w:rFonts w:hint="eastAsia" w:ascii="仿宋_GB2312" w:hAnsi="仿宋_GB2312" w:eastAsia="仿宋_GB2312" w:cs="仿宋_GB2312"/>
                <w:b w:val="0"/>
                <w:bCs w:val="0"/>
                <w:sz w:val="24"/>
                <w:szCs w:val="24"/>
              </w:rPr>
              <w:t>工结算审核服</w:t>
            </w:r>
            <w:r>
              <w:rPr>
                <w:rFonts w:hint="eastAsia" w:ascii="仿宋_GB2312" w:hAnsi="仿宋_GB2312" w:eastAsia="仿宋_GB2312" w:cs="仿宋_GB2312"/>
                <w:sz w:val="24"/>
                <w:szCs w:val="24"/>
              </w:rPr>
              <w:t>务</w:t>
            </w:r>
          </w:p>
        </w:tc>
      </w:tr>
      <w:tr w14:paraId="0B9E2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1" w:hRule="atLeast"/>
        </w:trPr>
        <w:tc>
          <w:tcPr>
            <w:tcW w:w="2668" w:type="dxa"/>
            <w:noWrap w:val="0"/>
            <w:vAlign w:val="center"/>
          </w:tcPr>
          <w:p w14:paraId="38263B23">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询价内容及服务范围</w:t>
            </w:r>
          </w:p>
        </w:tc>
        <w:tc>
          <w:tcPr>
            <w:tcW w:w="5881" w:type="dxa"/>
            <w:noWrap w:val="0"/>
            <w:vAlign w:val="center"/>
          </w:tcPr>
          <w:p w14:paraId="792B1DCE">
            <w:pPr>
              <w:ind w:left="3600" w:hanging="3600" w:hangingChars="15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农垦商厦室内装饰装修、室内装修改造及四层地砖施工</w:t>
            </w:r>
          </w:p>
          <w:p w14:paraId="4D9FC00A">
            <w:pPr>
              <w:ind w:left="3600" w:hanging="3600" w:hangingChars="15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等项目包括：农垦商厦卫生间、部分墙体、窗户不锈钢</w:t>
            </w:r>
          </w:p>
          <w:p w14:paraId="7950683D">
            <w:pPr>
              <w:ind w:left="3600" w:hanging="3600" w:hangingChars="15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栏杆、电梯前室原门套线、指示牌等拆除、增设吊顶支</w:t>
            </w:r>
          </w:p>
          <w:p w14:paraId="605E71F7">
            <w:pPr>
              <w:ind w:left="3600" w:hanging="3600" w:hangingChars="15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架结构、给排水、排风系统、灯具安装、吊顶、二层业</w:t>
            </w:r>
          </w:p>
          <w:p w14:paraId="44E535DF">
            <w:pPr>
              <w:ind w:left="3600" w:hanging="3600" w:hangingChars="15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态布局设计文件的变更、三楼地砖铺贴、墙砖地砖美缝、</w:t>
            </w:r>
          </w:p>
          <w:p w14:paraId="224D9AEA">
            <w:pPr>
              <w:ind w:left="3600" w:hanging="3600" w:hangingChars="15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门头变更、挡烟垂壁、服务台等、四层地砖施工等项目。</w:t>
            </w:r>
          </w:p>
        </w:tc>
      </w:tr>
      <w:tr w14:paraId="38CA6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8" w:hRule="atLeast"/>
        </w:trPr>
        <w:tc>
          <w:tcPr>
            <w:tcW w:w="2668" w:type="dxa"/>
            <w:noWrap w:val="0"/>
            <w:vAlign w:val="center"/>
          </w:tcPr>
          <w:p w14:paraId="1335720B">
            <w:pPr>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控制价</w:t>
            </w:r>
          </w:p>
        </w:tc>
        <w:tc>
          <w:tcPr>
            <w:tcW w:w="5881" w:type="dxa"/>
            <w:noWrap w:val="0"/>
            <w:vAlign w:val="center"/>
          </w:tcPr>
          <w:p w14:paraId="17FAAC85">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基本收费为合同金额的</w:t>
            </w:r>
            <w:r>
              <w:rPr>
                <w:rFonts w:hint="default" w:ascii="Times New Roman" w:hAnsi="Times New Roman" w:eastAsia="仿宋_GB2312" w:cs="Times New Roman"/>
                <w:sz w:val="24"/>
                <w:szCs w:val="24"/>
                <w:highlight w:val="none"/>
                <w:u w:val="single"/>
              </w:rPr>
              <w:t xml:space="preserve"> </w:t>
            </w:r>
            <w:r>
              <w:rPr>
                <w:rFonts w:hint="default" w:ascii="Times New Roman" w:hAnsi="Times New Roman" w:eastAsia="仿宋_GB2312" w:cs="Times New Roman"/>
                <w:sz w:val="24"/>
                <w:szCs w:val="24"/>
                <w:highlight w:val="none"/>
                <w:u w:val="single"/>
                <w:lang w:val="en-US" w:eastAsia="zh-CN"/>
              </w:rPr>
              <w:t>2</w:t>
            </w:r>
            <w:r>
              <w:rPr>
                <w:rFonts w:hint="default" w:ascii="Times New Roman" w:hAnsi="Times New Roman" w:eastAsia="仿宋_GB2312" w:cs="Times New Roman"/>
                <w:sz w:val="24"/>
                <w:szCs w:val="24"/>
                <w:highlight w:val="none"/>
                <w:u w:val="single"/>
              </w:rPr>
              <w:t xml:space="preserve"> </w:t>
            </w:r>
            <w:r>
              <w:rPr>
                <w:rFonts w:hint="default" w:ascii="Times New Roman" w:hAnsi="Times New Roman" w:eastAsia="仿宋_GB2312" w:cs="Times New Roman"/>
                <w:sz w:val="24"/>
                <w:szCs w:val="24"/>
                <w:highlight w:val="none"/>
              </w:rPr>
              <w:t>‰，审减费用为审减金额的</w:t>
            </w:r>
            <w:r>
              <w:rPr>
                <w:rFonts w:hint="default" w:ascii="Times New Roman" w:hAnsi="Times New Roman" w:eastAsia="仿宋_GB2312" w:cs="Times New Roman"/>
                <w:sz w:val="24"/>
                <w:szCs w:val="24"/>
                <w:highlight w:val="none"/>
                <w:u w:val="single"/>
                <w:lang w:val="en-US" w:eastAsia="zh-CN"/>
              </w:rPr>
              <w:t xml:space="preserve"> 2.5 </w:t>
            </w:r>
            <w:r>
              <w:rPr>
                <w:rFonts w:hint="default" w:ascii="Times New Roman" w:hAnsi="Times New Roman" w:eastAsia="仿宋_GB2312" w:cs="Times New Roman"/>
                <w:sz w:val="24"/>
                <w:szCs w:val="24"/>
                <w:highlight w:val="none"/>
              </w:rPr>
              <w:t>%。</w:t>
            </w:r>
          </w:p>
        </w:tc>
      </w:tr>
      <w:tr w14:paraId="53BCC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6" w:hRule="atLeast"/>
        </w:trPr>
        <w:tc>
          <w:tcPr>
            <w:tcW w:w="2668" w:type="dxa"/>
            <w:noWrap w:val="0"/>
            <w:vAlign w:val="center"/>
          </w:tcPr>
          <w:p w14:paraId="27ACE9A9">
            <w:pPr>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报价（含增值税等各项费用）</w:t>
            </w:r>
          </w:p>
        </w:tc>
        <w:tc>
          <w:tcPr>
            <w:tcW w:w="5881" w:type="dxa"/>
            <w:noWrap w:val="0"/>
            <w:vAlign w:val="center"/>
          </w:tcPr>
          <w:p w14:paraId="79B82126">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基本收费为合同金额的</w:t>
            </w:r>
            <w:r>
              <w:rPr>
                <w:rFonts w:hint="default" w:ascii="Times New Roman" w:hAnsi="Times New Roman" w:eastAsia="仿宋_GB2312" w:cs="Times New Roman"/>
                <w:sz w:val="24"/>
                <w:szCs w:val="24"/>
                <w:highlight w:val="none"/>
                <w:u w:val="single"/>
              </w:rPr>
              <w:t xml:space="preserve">      </w:t>
            </w:r>
            <w:r>
              <w:rPr>
                <w:rFonts w:hint="default" w:ascii="Times New Roman" w:hAnsi="Times New Roman" w:eastAsia="仿宋_GB2312" w:cs="Times New Roman"/>
                <w:sz w:val="24"/>
                <w:szCs w:val="24"/>
                <w:highlight w:val="none"/>
              </w:rPr>
              <w:t>‰，</w:t>
            </w:r>
          </w:p>
          <w:p w14:paraId="036B6AF2">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审减费用为审减金额的</w:t>
            </w:r>
            <w:r>
              <w:rPr>
                <w:rFonts w:hint="default" w:ascii="Times New Roman" w:hAnsi="Times New Roman" w:eastAsia="仿宋_GB2312" w:cs="Times New Roman"/>
                <w:sz w:val="24"/>
                <w:szCs w:val="24"/>
                <w:highlight w:val="none"/>
                <w:lang w:val="en-US" w:eastAsia="zh-CN"/>
              </w:rPr>
              <w:t>2.5</w:t>
            </w:r>
            <w:r>
              <w:rPr>
                <w:rFonts w:hint="default" w:ascii="Times New Roman" w:hAnsi="Times New Roman" w:eastAsia="仿宋_GB2312" w:cs="Times New Roman"/>
                <w:sz w:val="24"/>
                <w:szCs w:val="24"/>
                <w:highlight w:val="none"/>
              </w:rPr>
              <w:t>%。</w:t>
            </w:r>
          </w:p>
        </w:tc>
      </w:tr>
      <w:tr w14:paraId="50BF5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2" w:hRule="atLeast"/>
        </w:trPr>
        <w:tc>
          <w:tcPr>
            <w:tcW w:w="2668" w:type="dxa"/>
            <w:noWrap w:val="0"/>
            <w:vAlign w:val="center"/>
          </w:tcPr>
          <w:p w14:paraId="4ABE7657">
            <w:pPr>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承诺</w:t>
            </w:r>
          </w:p>
        </w:tc>
        <w:tc>
          <w:tcPr>
            <w:tcW w:w="5881" w:type="dxa"/>
            <w:noWrap w:val="0"/>
            <w:vAlign w:val="center"/>
          </w:tcPr>
          <w:p w14:paraId="104D1373">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1、如审减额不超送审额的6%，审计费由建设单位承担，如审减额超过送审额的6%则由施工单位承担结算审核服务费用的50%，如审减额超过送审额的10%的则由施工单位全额承担结算审核服务费用。</w:t>
            </w:r>
          </w:p>
          <w:p w14:paraId="462FF2B9">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2、若建设单位或相关主管部门后期审查时的审减金额超过本次审定金额的5%，本次结算审核服务费不予支付，给甲方造成的经济损失由结算审核服务单位承担。</w:t>
            </w:r>
          </w:p>
        </w:tc>
      </w:tr>
      <w:tr w14:paraId="4EF80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trPr>
        <w:tc>
          <w:tcPr>
            <w:tcW w:w="2668" w:type="dxa"/>
            <w:noWrap w:val="0"/>
            <w:vAlign w:val="center"/>
          </w:tcPr>
          <w:p w14:paraId="5C099A61">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工期</w:t>
            </w:r>
          </w:p>
        </w:tc>
        <w:tc>
          <w:tcPr>
            <w:tcW w:w="5881" w:type="dxa"/>
            <w:noWrap w:val="0"/>
            <w:vAlign w:val="center"/>
          </w:tcPr>
          <w:p w14:paraId="40EBC0D8">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项目资料提供齐全后60个工作日</w:t>
            </w:r>
          </w:p>
        </w:tc>
      </w:tr>
      <w:tr w14:paraId="4B7EE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trPr>
        <w:tc>
          <w:tcPr>
            <w:tcW w:w="8549" w:type="dxa"/>
            <w:gridSpan w:val="2"/>
            <w:noWrap w:val="0"/>
            <w:vAlign w:val="center"/>
          </w:tcPr>
          <w:p w14:paraId="14F892D5">
            <w:pPr>
              <w:spacing w:line="560" w:lineRule="exact"/>
              <w:ind w:firstLine="420" w:firstLineChars="175"/>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我保证所报价格真实有效，无恶意报价，一旦成交，能够按照贵单位的要求完成相关服务。</w:t>
            </w:r>
          </w:p>
          <w:p w14:paraId="09D1D31A">
            <w:pPr>
              <w:tabs>
                <w:tab w:val="left" w:pos="0"/>
              </w:tabs>
              <w:spacing w:line="560" w:lineRule="exact"/>
              <w:ind w:firstLine="552" w:firstLineChars="23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报价单位（盖章）：</w:t>
            </w:r>
          </w:p>
          <w:p w14:paraId="45E94F57">
            <w:pPr>
              <w:tabs>
                <w:tab w:val="left" w:pos="0"/>
              </w:tabs>
              <w:spacing w:line="560" w:lineRule="exact"/>
              <w:ind w:firstLine="552" w:firstLineChars="23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法定代表人或授权委托人（签字或盖章）：</w:t>
            </w:r>
          </w:p>
          <w:p w14:paraId="6A9A8C58">
            <w:pPr>
              <w:tabs>
                <w:tab w:val="left" w:pos="0"/>
              </w:tabs>
              <w:spacing w:line="560" w:lineRule="exact"/>
              <w:ind w:firstLine="552" w:firstLineChars="23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联系方式：</w:t>
            </w:r>
          </w:p>
          <w:p w14:paraId="32D8BC11">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年    月    日  </w:t>
            </w:r>
          </w:p>
        </w:tc>
      </w:tr>
    </w:tbl>
    <w:p w14:paraId="63E206A1">
      <w:pPr>
        <w:tabs>
          <w:tab w:val="left" w:pos="0"/>
        </w:tabs>
        <w:spacing w:line="360" w:lineRule="auto"/>
        <w:ind w:firstLine="480" w:firstLineChars="200"/>
        <w:jc w:val="lef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响应人需提供的证明材料：</w:t>
      </w:r>
    </w:p>
    <w:p w14:paraId="2F948ADF">
      <w:pPr>
        <w:tabs>
          <w:tab w:val="left" w:pos="0"/>
        </w:tabs>
        <w:spacing w:line="360" w:lineRule="auto"/>
        <w:ind w:firstLine="480" w:firstLineChars="200"/>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1</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rPr>
        <w:t>法定代表人身份证明或法定代表人授权委托书（格式自拟，加盖公章）；</w:t>
      </w:r>
    </w:p>
    <w:p w14:paraId="12754E11">
      <w:pPr>
        <w:tabs>
          <w:tab w:val="left" w:pos="0"/>
        </w:tabs>
        <w:spacing w:line="360" w:lineRule="auto"/>
        <w:ind w:firstLine="480" w:firstLineChars="200"/>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2</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rPr>
        <w:t>合法有效的营业执照（复印件加盖公章）；</w:t>
      </w:r>
    </w:p>
    <w:p w14:paraId="28DC621D">
      <w:pPr>
        <w:widowControl/>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color w:val="000000"/>
          <w:sz w:val="24"/>
          <w:szCs w:val="24"/>
        </w:rPr>
        <w:t>3</w:t>
      </w:r>
      <w:r>
        <w:rPr>
          <w:rFonts w:hint="default" w:ascii="Times New Roman" w:hAnsi="Times New Roman" w:eastAsia="仿宋_GB2312" w:cs="Times New Roman"/>
          <w:color w:val="000000"/>
          <w:sz w:val="24"/>
          <w:szCs w:val="24"/>
          <w:lang w:val="en-US" w:eastAsia="zh-CN"/>
        </w:rPr>
        <w:t xml:space="preserve">. </w:t>
      </w:r>
      <w:r>
        <w:rPr>
          <w:rFonts w:hint="default" w:ascii="Times New Roman" w:hAnsi="Times New Roman" w:eastAsia="仿宋_GB2312" w:cs="Times New Roman"/>
          <w:color w:val="000000"/>
          <w:sz w:val="24"/>
          <w:szCs w:val="24"/>
        </w:rPr>
        <w:t>造价工程师执业资格证明文件和服务承诺（格式自拟）等其他内容。</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